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47A721D"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7D1CE2" w:rsidRPr="00015809" w:rsidRDefault="007D1CE2" w:rsidP="007D1CE2">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18. marts 2025</w:t>
      </w:r>
      <w:r>
        <w:rPr>
          <w:rFonts w:ascii="Arial" w:hAnsi="Arial" w:cs="Arial"/>
          <w:sz w:val="18"/>
          <w:szCs w:val="18"/>
        </w:rPr>
        <w:fldChar w:fldCharType="end"/>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7D1CE2" w:rsidP="007D1CE2">
      <w:pPr>
        <w:rPr>
          <w:rFonts w:ascii="Arial" w:hAnsi="Arial" w:cs="Arial"/>
          <w:sz w:val="18"/>
          <w:szCs w:val="18"/>
        </w:rPr>
      </w:pPr>
      <w:bookmarkStart w:id="3" w:name="kontor"/>
      <w:bookmarkEnd w:id="3"/>
      <w:r>
        <w:rPr>
          <w:rFonts w:ascii="Arial" w:hAnsi="Arial" w:cs="Arial"/>
          <w:sz w:val="18"/>
          <w:szCs w:val="18"/>
        </w:rPr>
        <w:t>Befolkning og Uddannelse</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7D1CE2" w:rsidP="007D1CE2">
          <w:pPr>
            <w:pStyle w:val="Titel"/>
            <w:spacing w:before="480"/>
            <w:rPr>
              <w:rFonts w:ascii="Georgia" w:hAnsi="Georgia" w:cs="Times New Roman"/>
              <w:b w:val="0"/>
              <w:bCs/>
              <w:color w:val="0F78C8"/>
              <w:sz w:val="20"/>
              <w:szCs w:val="24"/>
            </w:rPr>
          </w:pPr>
          <w:r w:rsidRPr="007D1CE2">
            <w:rPr>
              <w:color w:val="0F78C8"/>
            </w:rPr>
            <w:t>Voldtægtsforbrydelser: Afgjorte biforhold</w:t>
          </w:r>
        </w:p>
      </w:sdtContent>
    </w:sdt>
    <w:bookmarkStart w:id="7" w:name="til" w:displacedByCustomXml="prev"/>
    <w:bookmarkEnd w:id="7" w:displacedByCustomXml="prev"/>
    <w:bookmarkEnd w:id="6" w:displacedByCustomXml="prev"/>
    <w:p w:rsidR="007D1CE2" w:rsidRDefault="007D1CE2" w:rsidP="007D1CE2">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7D1CE2" w:rsidRDefault="007D1CE2" w:rsidP="007D1CE2"/>
    <w:p w:rsidR="007D1CE2" w:rsidRDefault="007D1CE2" w:rsidP="007D1CE2">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7D1CE2" w:rsidRDefault="007D1CE2" w:rsidP="007D1CE2"/>
    <w:p w:rsidR="007D1CE2" w:rsidRDefault="007D1CE2" w:rsidP="007D1CE2">
      <w:r>
        <w:t xml:space="preserve">Antal afgjorte biforhold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7D1CE2" w:rsidRDefault="007D1CE2" w:rsidP="007D1CE2"/>
    <w:p w:rsidR="007D1CE2" w:rsidRDefault="007D1CE2" w:rsidP="007D1CE2">
      <w:pPr>
        <w:pStyle w:val="Tabeloverskrift"/>
      </w:pPr>
      <w:r>
        <w:t>Afgjorte biforhold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7D1CE2" w:rsidTr="006B09BD">
        <w:tc>
          <w:tcPr>
            <w:tcW w:w="583" w:type="pct"/>
            <w:tcBorders>
              <w:top w:val="single" w:sz="24" w:space="0" w:color="6F6D5C"/>
              <w:bottom w:val="nil"/>
            </w:tcBorders>
            <w:shd w:val="clear" w:color="auto" w:fill="auto"/>
            <w:vAlign w:val="bottom"/>
          </w:tcPr>
          <w:p w:rsidR="007D1CE2" w:rsidRDefault="007D1CE2"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7D1CE2" w:rsidRPr="008A4F9D" w:rsidRDefault="007D1CE2"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rsidRPr="008A4F9D">
              <w:rPr>
                <w:sz w:val="18"/>
                <w:szCs w:val="18"/>
              </w:rPr>
              <w:tab/>
              <w:t>I alt</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7D1CE2" w:rsidRDefault="007D1CE2" w:rsidP="00E43AB1">
            <w:pPr>
              <w:pStyle w:val="StdCelleStreg"/>
              <w:spacing w:before="80"/>
            </w:pPr>
            <w:r>
              <w:t>Børn under 12 år</w:t>
            </w:r>
          </w:p>
        </w:tc>
        <w:tc>
          <w:tcPr>
            <w:tcW w:w="1767" w:type="pct"/>
            <w:gridSpan w:val="2"/>
            <w:tcBorders>
              <w:top w:val="single" w:sz="24" w:space="0" w:color="6F6D5C"/>
              <w:bottom w:val="nil"/>
            </w:tcBorders>
            <w:shd w:val="clear" w:color="auto" w:fill="auto"/>
          </w:tcPr>
          <w:p w:rsidR="007D1CE2" w:rsidRDefault="007D1CE2" w:rsidP="00E43AB1">
            <w:pPr>
              <w:pStyle w:val="StdCelleStreg"/>
              <w:spacing w:before="80"/>
            </w:pPr>
            <w:r>
              <w:t>I øvrigt</w:t>
            </w:r>
          </w:p>
        </w:tc>
      </w:tr>
      <w:tr w:rsidR="007D1CE2" w:rsidTr="006B09BD">
        <w:tc>
          <w:tcPr>
            <w:tcW w:w="583" w:type="pct"/>
            <w:tcBorders>
              <w:top w:val="nil"/>
              <w:bottom w:val="single" w:sz="6" w:space="0" w:color="6F6D5C"/>
            </w:tcBorders>
            <w:shd w:val="clear" w:color="auto" w:fill="auto"/>
            <w:vAlign w:val="bottom"/>
          </w:tcPr>
          <w:p w:rsidR="007D1CE2" w:rsidRDefault="007D1CE2"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7D1CE2" w:rsidRDefault="007D1CE2"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7D1CE2" w:rsidRDefault="007D1CE2"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7D1CE2" w:rsidRDefault="007D1CE2"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7D1CE2" w:rsidRDefault="007D1CE2"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7D1CE2" w:rsidRDefault="007D1CE2"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7D1CE2" w:rsidRPr="00F3409C" w:rsidTr="006B09BD">
        <w:tc>
          <w:tcPr>
            <w:tcW w:w="583" w:type="pct"/>
            <w:shd w:val="clear" w:color="auto" w:fill="auto"/>
            <w:vAlign w:val="bottom"/>
          </w:tcPr>
          <w:p w:rsidR="007D1CE2" w:rsidRPr="00F3409C" w:rsidRDefault="007D1CE2" w:rsidP="00E43AB1">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7D1CE2" w:rsidRDefault="007D1CE2"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190</w:t>
            </w:r>
          </w:p>
        </w:tc>
        <w:tc>
          <w:tcPr>
            <w:tcW w:w="883" w:type="pct"/>
            <w:shd w:val="clear" w:color="auto" w:fill="auto"/>
            <w:vAlign w:val="center"/>
          </w:tcPr>
          <w:p w:rsidR="007D1CE2" w:rsidRDefault="007D1CE2"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7D1CE2" w:rsidRDefault="007D1CE2"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7D1CE2" w:rsidRDefault="007D1CE2"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77</w:t>
            </w:r>
          </w:p>
        </w:tc>
        <w:tc>
          <w:tcPr>
            <w:tcW w:w="884" w:type="pct"/>
            <w:shd w:val="clear" w:color="auto" w:fill="auto"/>
            <w:vAlign w:val="center"/>
          </w:tcPr>
          <w:p w:rsidR="007D1CE2" w:rsidRDefault="007D1CE2"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24</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227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112</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80</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153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159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61</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20</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59</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115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130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129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103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119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137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51</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37</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121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120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108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109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33</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134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66</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7D1CE2" w:rsidRPr="00F3409C" w:rsidTr="006B09BD">
        <w:tc>
          <w:tcPr>
            <w:tcW w:w="583" w:type="pct"/>
            <w:shd w:val="clear" w:color="auto" w:fill="auto"/>
            <w:vAlign w:val="bottom"/>
          </w:tcPr>
          <w:p w:rsidR="007D1CE2" w:rsidRPr="00F3409C" w:rsidRDefault="007D1CE2" w:rsidP="00E43AB1">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348</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r>
      <w:tr w:rsidR="007D1CE2" w:rsidRPr="00F3409C" w:rsidTr="006B09BD">
        <w:tc>
          <w:tcPr>
            <w:tcW w:w="583" w:type="pct"/>
            <w:shd w:val="clear" w:color="auto" w:fill="auto"/>
            <w:vAlign w:val="bottom"/>
          </w:tcPr>
          <w:p w:rsidR="007D1CE2" w:rsidRDefault="007D1CE2" w:rsidP="00E43AB1">
            <w:pPr>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356</w:t>
            </w:r>
          </w:p>
        </w:tc>
        <w:tc>
          <w:tcPr>
            <w:tcW w:w="883" w:type="pct"/>
            <w:shd w:val="clear" w:color="auto" w:fill="auto"/>
            <w:vAlign w:val="center"/>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123</w:t>
            </w:r>
          </w:p>
        </w:tc>
        <w:tc>
          <w:tcPr>
            <w:tcW w:w="884" w:type="pct"/>
            <w:shd w:val="clear" w:color="auto" w:fill="auto"/>
            <w:vAlign w:val="center"/>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78</w:t>
            </w:r>
          </w:p>
        </w:tc>
      </w:tr>
      <w:tr w:rsidR="007D1CE2" w:rsidRPr="00F3409C" w:rsidTr="006B09BD">
        <w:tc>
          <w:tcPr>
            <w:tcW w:w="583" w:type="pct"/>
            <w:shd w:val="clear" w:color="auto" w:fill="auto"/>
            <w:vAlign w:val="bottom"/>
          </w:tcPr>
          <w:p w:rsidR="007D1CE2" w:rsidRDefault="007D1CE2" w:rsidP="00E43AB1">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64</w:t>
            </w:r>
          </w:p>
        </w:tc>
        <w:tc>
          <w:tcPr>
            <w:tcW w:w="883"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127</w:t>
            </w:r>
          </w:p>
        </w:tc>
        <w:tc>
          <w:tcPr>
            <w:tcW w:w="884" w:type="pct"/>
            <w:shd w:val="clear" w:color="auto" w:fill="auto"/>
            <w:vAlign w:val="center"/>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71</w:t>
            </w:r>
          </w:p>
        </w:tc>
      </w:tr>
      <w:tr w:rsidR="007D1CE2" w:rsidRPr="00F3409C" w:rsidTr="006B09BD">
        <w:tc>
          <w:tcPr>
            <w:tcW w:w="583" w:type="pct"/>
            <w:shd w:val="clear" w:color="auto" w:fill="auto"/>
            <w:vAlign w:val="bottom"/>
          </w:tcPr>
          <w:p w:rsidR="007D1CE2" w:rsidRDefault="007D1CE2" w:rsidP="00E43AB1">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317</w:t>
            </w:r>
          </w:p>
        </w:tc>
        <w:tc>
          <w:tcPr>
            <w:tcW w:w="883" w:type="pct"/>
            <w:shd w:val="clear" w:color="auto" w:fill="auto"/>
            <w:vAlign w:val="bottom"/>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bottom"/>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59</w:t>
            </w:r>
          </w:p>
        </w:tc>
        <w:tc>
          <w:tcPr>
            <w:tcW w:w="883" w:type="pct"/>
            <w:shd w:val="clear" w:color="auto" w:fill="auto"/>
            <w:vAlign w:val="bottom"/>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4" w:type="pct"/>
            <w:shd w:val="clear" w:color="auto" w:fill="auto"/>
            <w:vAlign w:val="bottom"/>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99</w:t>
            </w:r>
          </w:p>
        </w:tc>
      </w:tr>
      <w:tr w:rsidR="007D1CE2" w:rsidRPr="00F3409C" w:rsidTr="006B09BD">
        <w:tc>
          <w:tcPr>
            <w:tcW w:w="583" w:type="pct"/>
            <w:shd w:val="clear" w:color="auto" w:fill="auto"/>
            <w:vAlign w:val="bottom"/>
          </w:tcPr>
          <w:p w:rsidR="007D1CE2" w:rsidRDefault="007D1CE2" w:rsidP="00E43AB1">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7D1CE2" w:rsidRDefault="007D1CE2"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406</w:t>
            </w:r>
          </w:p>
        </w:tc>
        <w:tc>
          <w:tcPr>
            <w:tcW w:w="883" w:type="pct"/>
            <w:tcBorders>
              <w:top w:val="nil"/>
              <w:left w:val="nil"/>
              <w:bottom w:val="nil"/>
              <w:right w:val="nil"/>
            </w:tcBorders>
            <w:shd w:val="clear" w:color="auto" w:fill="auto"/>
            <w:vAlign w:val="bottom"/>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55</w:t>
            </w:r>
          </w:p>
        </w:tc>
        <w:tc>
          <w:tcPr>
            <w:tcW w:w="883" w:type="pct"/>
            <w:tcBorders>
              <w:top w:val="nil"/>
              <w:left w:val="nil"/>
              <w:bottom w:val="nil"/>
              <w:right w:val="nil"/>
            </w:tcBorders>
            <w:shd w:val="clear" w:color="auto" w:fill="auto"/>
            <w:vAlign w:val="bottom"/>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162</w:t>
            </w:r>
          </w:p>
        </w:tc>
        <w:tc>
          <w:tcPr>
            <w:tcW w:w="883" w:type="pct"/>
            <w:tcBorders>
              <w:top w:val="nil"/>
              <w:left w:val="nil"/>
              <w:bottom w:val="nil"/>
              <w:right w:val="nil"/>
            </w:tcBorders>
            <w:shd w:val="clear" w:color="auto" w:fill="auto"/>
            <w:vAlign w:val="bottom"/>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tcBorders>
              <w:top w:val="nil"/>
              <w:left w:val="nil"/>
              <w:bottom w:val="nil"/>
              <w:right w:val="nil"/>
            </w:tcBorders>
            <w:shd w:val="clear" w:color="auto" w:fill="auto"/>
            <w:vAlign w:val="bottom"/>
          </w:tcPr>
          <w:p w:rsidR="007D1CE2" w:rsidRDefault="007D1CE2" w:rsidP="00E43AB1">
            <w:pPr>
              <w:jc w:val="right"/>
              <w:rPr>
                <w:rFonts w:ascii="Arial Narrow" w:hAnsi="Arial Narrow"/>
                <w:color w:val="000000"/>
                <w:sz w:val="18"/>
                <w:szCs w:val="18"/>
              </w:rPr>
            </w:pPr>
            <w:r>
              <w:rPr>
                <w:rFonts w:ascii="Arial Narrow" w:hAnsi="Arial Narrow"/>
                <w:color w:val="000000"/>
                <w:sz w:val="18"/>
                <w:szCs w:val="18"/>
              </w:rPr>
              <w:t xml:space="preserve"> 76</w:t>
            </w:r>
          </w:p>
        </w:tc>
      </w:tr>
      <w:tr w:rsidR="007D1CE2" w:rsidRPr="00610D9B" w:rsidTr="006B09BD">
        <w:tc>
          <w:tcPr>
            <w:tcW w:w="583" w:type="pct"/>
            <w:tcBorders>
              <w:top w:val="nil"/>
              <w:left w:val="nil"/>
              <w:bottom w:val="nil"/>
              <w:right w:val="nil"/>
            </w:tcBorders>
            <w:shd w:val="clear" w:color="auto" w:fill="auto"/>
            <w:vAlign w:val="bottom"/>
          </w:tcPr>
          <w:p w:rsidR="007D1CE2" w:rsidRPr="00610D9B" w:rsidRDefault="007D1CE2" w:rsidP="00E43AB1">
            <w:pPr>
              <w:spacing w:line="240" w:lineRule="auto"/>
              <w:rPr>
                <w:rFonts w:ascii="Arial Narrow" w:hAnsi="Arial Narrow" w:cs="Calibri"/>
                <w:sz w:val="18"/>
                <w:szCs w:val="18"/>
              </w:rPr>
            </w:pPr>
            <w:r w:rsidRPr="00610D9B">
              <w:rPr>
                <w:rFonts w:ascii="Arial Narrow" w:hAnsi="Arial Narrow" w:cs="Calibri"/>
                <w:sz w:val="18"/>
                <w:szCs w:val="18"/>
              </w:rPr>
              <w:t>2022</w:t>
            </w:r>
          </w:p>
        </w:tc>
        <w:tc>
          <w:tcPr>
            <w:tcW w:w="883" w:type="pct"/>
            <w:tcBorders>
              <w:top w:val="nil"/>
              <w:left w:val="nil"/>
              <w:bottom w:val="nil"/>
              <w:right w:val="nil"/>
            </w:tcBorders>
            <w:shd w:val="clear" w:color="auto" w:fill="auto"/>
            <w:vAlign w:val="center"/>
          </w:tcPr>
          <w:p w:rsidR="007D1CE2" w:rsidRPr="00610D9B" w:rsidRDefault="007D1CE2" w:rsidP="00E43AB1">
            <w:pPr>
              <w:jc w:val="right"/>
              <w:rPr>
                <w:rFonts w:ascii="Arial Narrow" w:hAnsi="Arial Narrow" w:cs="Calibri"/>
                <w:sz w:val="18"/>
                <w:szCs w:val="18"/>
              </w:rPr>
            </w:pPr>
            <w:r w:rsidRPr="00610D9B">
              <w:rPr>
                <w:rFonts w:ascii="Arial Narrow" w:hAnsi="Arial Narrow" w:cs="Calibri"/>
                <w:sz w:val="18"/>
                <w:szCs w:val="18"/>
              </w:rPr>
              <w:t>1 053</w:t>
            </w:r>
          </w:p>
        </w:tc>
        <w:tc>
          <w:tcPr>
            <w:tcW w:w="883" w:type="pct"/>
            <w:tcBorders>
              <w:top w:val="nil"/>
              <w:left w:val="nil"/>
              <w:bottom w:val="nil"/>
              <w:right w:val="nil"/>
            </w:tcBorders>
            <w:shd w:val="clear" w:color="auto" w:fill="auto"/>
            <w:vAlign w:val="center"/>
          </w:tcPr>
          <w:p w:rsidR="007D1CE2" w:rsidRPr="00610D9B" w:rsidRDefault="007D1CE2" w:rsidP="00E43AB1">
            <w:pPr>
              <w:jc w:val="right"/>
              <w:rPr>
                <w:rFonts w:ascii="Arial Narrow" w:hAnsi="Arial Narrow" w:cs="Calibri"/>
                <w:sz w:val="18"/>
                <w:szCs w:val="18"/>
              </w:rPr>
            </w:pPr>
            <w:r w:rsidRPr="00610D9B">
              <w:rPr>
                <w:rFonts w:ascii="Arial Narrow" w:hAnsi="Arial Narrow" w:cs="Calibri"/>
                <w:sz w:val="18"/>
                <w:szCs w:val="18"/>
              </w:rPr>
              <w:t xml:space="preserve"> 223</w:t>
            </w:r>
          </w:p>
        </w:tc>
        <w:tc>
          <w:tcPr>
            <w:tcW w:w="883" w:type="pct"/>
            <w:tcBorders>
              <w:top w:val="nil"/>
              <w:left w:val="nil"/>
              <w:bottom w:val="nil"/>
              <w:right w:val="nil"/>
            </w:tcBorders>
            <w:shd w:val="clear" w:color="auto" w:fill="auto"/>
            <w:vAlign w:val="center"/>
          </w:tcPr>
          <w:p w:rsidR="007D1CE2" w:rsidRPr="00610D9B" w:rsidRDefault="007D1CE2" w:rsidP="00E43AB1">
            <w:pPr>
              <w:jc w:val="right"/>
              <w:rPr>
                <w:rFonts w:ascii="Arial Narrow" w:hAnsi="Arial Narrow" w:cs="Calibri"/>
                <w:sz w:val="18"/>
                <w:szCs w:val="18"/>
              </w:rPr>
            </w:pPr>
            <w:r w:rsidRPr="00610D9B">
              <w:rPr>
                <w:rFonts w:ascii="Arial Narrow" w:hAnsi="Arial Narrow" w:cs="Calibri"/>
                <w:sz w:val="18"/>
                <w:szCs w:val="18"/>
              </w:rPr>
              <w:t xml:space="preserve"> 166</w:t>
            </w:r>
          </w:p>
        </w:tc>
        <w:tc>
          <w:tcPr>
            <w:tcW w:w="883" w:type="pct"/>
            <w:tcBorders>
              <w:top w:val="nil"/>
              <w:left w:val="nil"/>
              <w:bottom w:val="nil"/>
              <w:right w:val="nil"/>
            </w:tcBorders>
            <w:shd w:val="clear" w:color="auto" w:fill="auto"/>
            <w:vAlign w:val="center"/>
          </w:tcPr>
          <w:p w:rsidR="007D1CE2" w:rsidRPr="00610D9B" w:rsidRDefault="007D1CE2" w:rsidP="00E43AB1">
            <w:pPr>
              <w:spacing w:line="240" w:lineRule="auto"/>
              <w:jc w:val="right"/>
              <w:rPr>
                <w:rFonts w:ascii="Arial Narrow" w:hAnsi="Arial Narrow" w:cs="Calibri"/>
                <w:sz w:val="18"/>
                <w:szCs w:val="18"/>
              </w:rPr>
            </w:pPr>
            <w:r w:rsidRPr="00610D9B">
              <w:rPr>
                <w:rFonts w:ascii="Arial Narrow" w:hAnsi="Arial Narrow" w:cs="Calibri"/>
                <w:sz w:val="18"/>
                <w:szCs w:val="18"/>
              </w:rPr>
              <w:t xml:space="preserve"> 538</w:t>
            </w:r>
          </w:p>
        </w:tc>
        <w:tc>
          <w:tcPr>
            <w:tcW w:w="884" w:type="pct"/>
            <w:tcBorders>
              <w:top w:val="nil"/>
              <w:left w:val="nil"/>
              <w:bottom w:val="nil"/>
              <w:right w:val="nil"/>
            </w:tcBorders>
            <w:shd w:val="clear" w:color="auto" w:fill="auto"/>
            <w:vAlign w:val="center"/>
          </w:tcPr>
          <w:p w:rsidR="007D1CE2" w:rsidRPr="00610D9B" w:rsidRDefault="007D1CE2" w:rsidP="00E43AB1">
            <w:pPr>
              <w:jc w:val="right"/>
              <w:rPr>
                <w:rFonts w:ascii="Arial Narrow" w:hAnsi="Arial Narrow" w:cs="Calibri"/>
                <w:sz w:val="18"/>
                <w:szCs w:val="18"/>
              </w:rPr>
            </w:pPr>
            <w:r w:rsidRPr="00610D9B">
              <w:rPr>
                <w:rFonts w:ascii="Arial Narrow" w:hAnsi="Arial Narrow" w:cs="Calibri"/>
                <w:sz w:val="18"/>
                <w:szCs w:val="18"/>
              </w:rPr>
              <w:t xml:space="preserve"> 126</w:t>
            </w:r>
          </w:p>
        </w:tc>
      </w:tr>
      <w:tr w:rsidR="007D1CE2" w:rsidRPr="00F3409C" w:rsidTr="006B09BD">
        <w:tc>
          <w:tcPr>
            <w:tcW w:w="583" w:type="pct"/>
            <w:tcBorders>
              <w:top w:val="nil"/>
              <w:left w:val="nil"/>
              <w:bottom w:val="single" w:sz="24" w:space="0" w:color="6F6D5C"/>
              <w:right w:val="nil"/>
            </w:tcBorders>
            <w:shd w:val="clear" w:color="auto" w:fill="auto"/>
            <w:vAlign w:val="bottom"/>
          </w:tcPr>
          <w:p w:rsidR="007D1CE2" w:rsidRDefault="007D1CE2" w:rsidP="006B09BD">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single" w:sz="24" w:space="0" w:color="6F6D5C"/>
              <w:right w:val="nil"/>
            </w:tcBorders>
            <w:shd w:val="clear" w:color="auto" w:fill="auto"/>
            <w:vAlign w:val="bottom"/>
          </w:tcPr>
          <w:p w:rsidR="007D1CE2" w:rsidRDefault="007D1CE2" w:rsidP="006B09BD">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529</w:t>
            </w:r>
          </w:p>
        </w:tc>
        <w:tc>
          <w:tcPr>
            <w:tcW w:w="883" w:type="pct"/>
            <w:tcBorders>
              <w:top w:val="nil"/>
              <w:left w:val="nil"/>
              <w:bottom w:val="single" w:sz="24" w:space="0" w:color="6F6D5C"/>
              <w:right w:val="nil"/>
            </w:tcBorders>
            <w:shd w:val="clear" w:color="auto" w:fill="auto"/>
            <w:vAlign w:val="bottom"/>
          </w:tcPr>
          <w:p w:rsidR="007D1CE2" w:rsidRDefault="007D1CE2" w:rsidP="006B09BD">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single" w:sz="24" w:space="0" w:color="6F6D5C"/>
              <w:right w:val="nil"/>
            </w:tcBorders>
            <w:shd w:val="clear" w:color="auto" w:fill="auto"/>
            <w:vAlign w:val="bottom"/>
          </w:tcPr>
          <w:p w:rsidR="007D1CE2" w:rsidRDefault="007D1CE2" w:rsidP="006B09BD">
            <w:pPr>
              <w:jc w:val="right"/>
              <w:rPr>
                <w:rFonts w:ascii="Arial Narrow" w:hAnsi="Arial Narrow" w:cs="Calibri"/>
                <w:color w:val="000000"/>
                <w:sz w:val="18"/>
                <w:szCs w:val="18"/>
              </w:rPr>
            </w:pPr>
            <w:r>
              <w:rPr>
                <w:rFonts w:ascii="Arial Narrow" w:hAnsi="Arial Narrow" w:cs="Calibri"/>
                <w:color w:val="000000"/>
                <w:sz w:val="18"/>
                <w:szCs w:val="18"/>
              </w:rPr>
              <w:t>87</w:t>
            </w:r>
          </w:p>
        </w:tc>
        <w:tc>
          <w:tcPr>
            <w:tcW w:w="883" w:type="pct"/>
            <w:tcBorders>
              <w:top w:val="nil"/>
              <w:left w:val="nil"/>
              <w:bottom w:val="single" w:sz="24" w:space="0" w:color="6F6D5C"/>
              <w:right w:val="nil"/>
            </w:tcBorders>
            <w:shd w:val="clear" w:color="auto" w:fill="auto"/>
            <w:vAlign w:val="bottom"/>
          </w:tcPr>
          <w:p w:rsidR="007D1CE2" w:rsidRDefault="007D1CE2" w:rsidP="006B09BD">
            <w:pPr>
              <w:jc w:val="right"/>
              <w:rPr>
                <w:rFonts w:ascii="Arial Narrow" w:hAnsi="Arial Narrow" w:cs="Calibri"/>
                <w:color w:val="000000"/>
                <w:sz w:val="18"/>
                <w:szCs w:val="18"/>
              </w:rPr>
            </w:pPr>
            <w:r>
              <w:rPr>
                <w:rFonts w:ascii="Arial Narrow" w:hAnsi="Arial Narrow" w:cs="Calibri"/>
                <w:color w:val="000000"/>
                <w:sz w:val="18"/>
                <w:szCs w:val="18"/>
              </w:rPr>
              <w:t>282</w:t>
            </w:r>
          </w:p>
        </w:tc>
        <w:tc>
          <w:tcPr>
            <w:tcW w:w="884" w:type="pct"/>
            <w:tcBorders>
              <w:top w:val="nil"/>
              <w:left w:val="nil"/>
              <w:bottom w:val="single" w:sz="24" w:space="0" w:color="6F6D5C"/>
              <w:right w:val="nil"/>
            </w:tcBorders>
            <w:shd w:val="clear" w:color="auto" w:fill="auto"/>
            <w:vAlign w:val="bottom"/>
          </w:tcPr>
          <w:p w:rsidR="007D1CE2" w:rsidRDefault="007D1CE2" w:rsidP="006B09BD">
            <w:pPr>
              <w:jc w:val="right"/>
              <w:rPr>
                <w:rFonts w:ascii="Arial Narrow" w:hAnsi="Arial Narrow" w:cs="Calibri"/>
                <w:color w:val="000000"/>
                <w:sz w:val="18"/>
                <w:szCs w:val="18"/>
              </w:rPr>
            </w:pPr>
            <w:r>
              <w:rPr>
                <w:rFonts w:ascii="Arial Narrow" w:hAnsi="Arial Narrow" w:cs="Calibri"/>
                <w:color w:val="000000"/>
                <w:sz w:val="18"/>
                <w:szCs w:val="18"/>
              </w:rPr>
              <w:t>141</w:t>
            </w:r>
          </w:p>
        </w:tc>
      </w:tr>
      <w:tr w:rsidR="006B09BD" w:rsidRPr="00F3409C" w:rsidTr="006B09BD">
        <w:tc>
          <w:tcPr>
            <w:tcW w:w="583" w:type="pct"/>
            <w:tcBorders>
              <w:top w:val="single" w:sz="24" w:space="0" w:color="6F6D5C"/>
              <w:left w:val="nil"/>
              <w:bottom w:val="single" w:sz="12" w:space="0" w:color="6F6D5C"/>
              <w:right w:val="nil"/>
            </w:tcBorders>
            <w:shd w:val="clear" w:color="auto" w:fill="auto"/>
            <w:vAlign w:val="bottom"/>
          </w:tcPr>
          <w:p w:rsidR="006B09BD" w:rsidRDefault="006B09BD" w:rsidP="006B09BD">
            <w:pPr>
              <w:spacing w:before="80" w:after="80"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single" w:sz="24" w:space="0" w:color="6F6D5C"/>
              <w:left w:val="nil"/>
              <w:bottom w:val="single" w:sz="12" w:space="0" w:color="6F6D5C"/>
              <w:right w:val="nil"/>
            </w:tcBorders>
            <w:shd w:val="clear" w:color="auto" w:fill="auto"/>
            <w:vAlign w:val="bottom"/>
          </w:tcPr>
          <w:p w:rsidR="006B09BD" w:rsidRDefault="006B09BD" w:rsidP="006B09BD">
            <w:pPr>
              <w:spacing w:before="80" w:after="80"/>
              <w:jc w:val="right"/>
              <w:rPr>
                <w:rFonts w:ascii="Arial Narrow" w:hAnsi="Arial Narrow" w:cs="Calibri"/>
                <w:color w:val="000000"/>
                <w:sz w:val="18"/>
                <w:szCs w:val="18"/>
              </w:rPr>
            </w:pPr>
            <w:r>
              <w:rPr>
                <w:rFonts w:ascii="Arial Narrow" w:hAnsi="Arial Narrow" w:cs="Calibri"/>
                <w:color w:val="000000"/>
                <w:sz w:val="18"/>
                <w:szCs w:val="18"/>
              </w:rPr>
              <w:t>551</w:t>
            </w:r>
          </w:p>
        </w:tc>
        <w:tc>
          <w:tcPr>
            <w:tcW w:w="883" w:type="pct"/>
            <w:tcBorders>
              <w:top w:val="single" w:sz="24" w:space="0" w:color="6F6D5C"/>
              <w:left w:val="nil"/>
              <w:bottom w:val="single" w:sz="12" w:space="0" w:color="6F6D5C"/>
              <w:right w:val="nil"/>
            </w:tcBorders>
            <w:shd w:val="clear" w:color="auto" w:fill="auto"/>
            <w:vAlign w:val="bottom"/>
          </w:tcPr>
          <w:p w:rsidR="006B09BD" w:rsidRDefault="006B09BD" w:rsidP="006B09BD">
            <w:pPr>
              <w:spacing w:before="80" w:after="80"/>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single" w:sz="24" w:space="0" w:color="6F6D5C"/>
              <w:left w:val="nil"/>
              <w:bottom w:val="single" w:sz="12" w:space="0" w:color="6F6D5C"/>
              <w:right w:val="nil"/>
            </w:tcBorders>
            <w:shd w:val="clear" w:color="auto" w:fill="auto"/>
            <w:vAlign w:val="bottom"/>
          </w:tcPr>
          <w:p w:rsidR="006B09BD" w:rsidRDefault="006B09BD" w:rsidP="006B09BD">
            <w:pPr>
              <w:spacing w:before="80" w:after="80"/>
              <w:jc w:val="right"/>
              <w:rPr>
                <w:rFonts w:ascii="Arial Narrow" w:hAnsi="Arial Narrow" w:cs="Calibri"/>
                <w:color w:val="000000"/>
                <w:sz w:val="18"/>
                <w:szCs w:val="18"/>
              </w:rPr>
            </w:pPr>
            <w:r>
              <w:rPr>
                <w:rFonts w:ascii="Arial Narrow" w:hAnsi="Arial Narrow" w:cs="Calibri"/>
                <w:color w:val="000000"/>
                <w:sz w:val="18"/>
                <w:szCs w:val="18"/>
              </w:rPr>
              <w:t>188</w:t>
            </w:r>
          </w:p>
        </w:tc>
        <w:tc>
          <w:tcPr>
            <w:tcW w:w="883" w:type="pct"/>
            <w:tcBorders>
              <w:top w:val="single" w:sz="24" w:space="0" w:color="6F6D5C"/>
              <w:left w:val="nil"/>
              <w:bottom w:val="single" w:sz="12" w:space="0" w:color="6F6D5C"/>
              <w:right w:val="nil"/>
            </w:tcBorders>
            <w:shd w:val="clear" w:color="auto" w:fill="auto"/>
            <w:vAlign w:val="bottom"/>
          </w:tcPr>
          <w:p w:rsidR="006B09BD" w:rsidRDefault="006B09BD" w:rsidP="006B09BD">
            <w:pPr>
              <w:spacing w:before="80" w:after="80"/>
              <w:jc w:val="right"/>
              <w:rPr>
                <w:rFonts w:ascii="Arial Narrow" w:hAnsi="Arial Narrow" w:cs="Calibri"/>
                <w:color w:val="000000"/>
                <w:sz w:val="18"/>
                <w:szCs w:val="18"/>
              </w:rPr>
            </w:pPr>
            <w:r>
              <w:rPr>
                <w:rFonts w:ascii="Arial Narrow" w:hAnsi="Arial Narrow" w:cs="Calibri"/>
                <w:color w:val="000000"/>
                <w:sz w:val="18"/>
                <w:szCs w:val="18"/>
              </w:rPr>
              <w:t>244</w:t>
            </w:r>
          </w:p>
        </w:tc>
        <w:tc>
          <w:tcPr>
            <w:tcW w:w="884" w:type="pct"/>
            <w:tcBorders>
              <w:top w:val="single" w:sz="24" w:space="0" w:color="6F6D5C"/>
              <w:left w:val="nil"/>
              <w:bottom w:val="single" w:sz="12" w:space="0" w:color="6F6D5C"/>
              <w:right w:val="nil"/>
            </w:tcBorders>
            <w:shd w:val="clear" w:color="auto" w:fill="auto"/>
            <w:vAlign w:val="bottom"/>
          </w:tcPr>
          <w:p w:rsidR="006B09BD" w:rsidRDefault="006B09BD" w:rsidP="006B09BD">
            <w:pPr>
              <w:spacing w:before="80" w:after="80"/>
              <w:jc w:val="right"/>
              <w:rPr>
                <w:rFonts w:ascii="Arial Narrow" w:hAnsi="Arial Narrow" w:cs="Calibri"/>
                <w:color w:val="000000"/>
                <w:sz w:val="18"/>
                <w:szCs w:val="18"/>
              </w:rPr>
            </w:pPr>
            <w:r>
              <w:rPr>
                <w:rFonts w:ascii="Arial Narrow" w:hAnsi="Arial Narrow" w:cs="Calibri"/>
                <w:color w:val="000000"/>
                <w:sz w:val="18"/>
                <w:szCs w:val="18"/>
              </w:rPr>
              <w:t>105</w:t>
            </w:r>
          </w:p>
        </w:tc>
      </w:tr>
    </w:tbl>
    <w:p w:rsidR="006B09BD" w:rsidRDefault="006B09BD" w:rsidP="007D1CE2">
      <w:pPr>
        <w:rPr>
          <w:rFonts w:ascii="Arial Narrow" w:hAnsi="Arial Narrow"/>
          <w:sz w:val="18"/>
          <w:szCs w:val="18"/>
        </w:rPr>
        <w:sectPr w:rsidR="006B09BD" w:rsidSect="00D625A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9" w:name="_GoBack"/>
      <w:bookmarkEnd w:id="9"/>
    </w:p>
    <w:p w:rsidR="007D1CE2" w:rsidRDefault="007D1CE2" w:rsidP="007D1CE2">
      <w:pPr>
        <w:rPr>
          <w:rFonts w:ascii="Arial Narrow" w:hAnsi="Arial Narrow"/>
          <w:sz w:val="18"/>
          <w:szCs w:val="18"/>
        </w:rPr>
        <w:sectPr w:rsidR="007D1CE2" w:rsidSect="006B09BD">
          <w:pgSz w:w="11906" w:h="16838" w:code="9"/>
          <w:pgMar w:top="1134" w:right="992" w:bottom="1134" w:left="3543" w:header="567" w:footer="709" w:gutter="0"/>
          <w:cols w:space="708"/>
          <w:titlePg/>
          <w:docGrid w:linePitch="360"/>
        </w:sectPr>
      </w:pPr>
    </w:p>
    <w:p w:rsidR="007D1CE2" w:rsidRDefault="007D1CE2" w:rsidP="007D1CE2">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16"/>
      <w:headerReference w:type="default" r:id="rId17"/>
      <w:footerReference w:type="even" r:id="rId18"/>
      <w:footerReference w:type="default" r:id="rId19"/>
      <w:headerReference w:type="first" r:id="rId20"/>
      <w:footerReference w:type="first" r:id="rId21"/>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6B09BD">
          <w:rPr>
            <w:rFonts w:cs="Arial"/>
            <w:noProof/>
          </w:rPr>
          <w:t>1</w:t>
        </w:r>
        <w:r w:rsidRPr="00B969D7">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Pr>
              <w:noProof/>
            </w:rPr>
            <w:t>3</w:t>
          </w:r>
        </w:fldSimple>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602B"/>
    <w:rsid w:val="005129D3"/>
    <w:rsid w:val="005278B9"/>
    <w:rsid w:val="00532416"/>
    <w:rsid w:val="00592600"/>
    <w:rsid w:val="005B3F54"/>
    <w:rsid w:val="005C5D8C"/>
    <w:rsid w:val="005C7210"/>
    <w:rsid w:val="00602EB6"/>
    <w:rsid w:val="00607944"/>
    <w:rsid w:val="00610D9B"/>
    <w:rsid w:val="00616D85"/>
    <w:rsid w:val="0065672A"/>
    <w:rsid w:val="00665EE8"/>
    <w:rsid w:val="00690882"/>
    <w:rsid w:val="006B09BD"/>
    <w:rsid w:val="006B0BC0"/>
    <w:rsid w:val="006D073D"/>
    <w:rsid w:val="006D7846"/>
    <w:rsid w:val="006F3419"/>
    <w:rsid w:val="006F7A17"/>
    <w:rsid w:val="007016BC"/>
    <w:rsid w:val="007142B2"/>
    <w:rsid w:val="00754CA7"/>
    <w:rsid w:val="00774A4C"/>
    <w:rsid w:val="00791955"/>
    <w:rsid w:val="007B1055"/>
    <w:rsid w:val="007B1673"/>
    <w:rsid w:val="007B4452"/>
    <w:rsid w:val="007D1CE2"/>
    <w:rsid w:val="00820334"/>
    <w:rsid w:val="00823F75"/>
    <w:rsid w:val="008314C2"/>
    <w:rsid w:val="008338D3"/>
    <w:rsid w:val="00836783"/>
    <w:rsid w:val="00840163"/>
    <w:rsid w:val="008577EB"/>
    <w:rsid w:val="00861778"/>
    <w:rsid w:val="00876D91"/>
    <w:rsid w:val="008974C4"/>
    <w:rsid w:val="008A23DC"/>
    <w:rsid w:val="008A4F9D"/>
    <w:rsid w:val="008B16D6"/>
    <w:rsid w:val="008C44D2"/>
    <w:rsid w:val="009144C1"/>
    <w:rsid w:val="00922932"/>
    <w:rsid w:val="00922F5E"/>
    <w:rsid w:val="00936597"/>
    <w:rsid w:val="00941024"/>
    <w:rsid w:val="0094286D"/>
    <w:rsid w:val="00967DEE"/>
    <w:rsid w:val="00981DB4"/>
    <w:rsid w:val="00993F7E"/>
    <w:rsid w:val="009B453E"/>
    <w:rsid w:val="00A03E66"/>
    <w:rsid w:val="00A170D5"/>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B30DD6"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61186"/>
    <w:rsid w:val="00B30DD6"/>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10</TotalTime>
  <Pages>4</Pages>
  <Words>1163</Words>
  <Characters>5599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Voldtægtsforbrydelser: Afgjorte biforhold</vt:lpstr>
    </vt:vector>
  </TitlesOfParts>
  <Company>Danmarks Statistik</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Afgjorte biforhold</dc:title>
  <dc:creator>Lisbeth Lavrsen</dc:creator>
  <cp:lastModifiedBy>Iben Pedersen</cp:lastModifiedBy>
  <cp:revision>4</cp:revision>
  <dcterms:created xsi:type="dcterms:W3CDTF">2025-03-20T13:07:00Z</dcterms:created>
  <dcterms:modified xsi:type="dcterms:W3CDTF">2025-03-20T13:47:00Z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