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E4092" w14:textId="065AD177" w:rsidR="0088600C" w:rsidRDefault="00050A67" w:rsidP="0088600C">
      <w:pPr>
        <w:jc w:val="right"/>
      </w:pPr>
      <w:r>
        <w:t xml:space="preserve">Redigeret senest d. </w:t>
      </w:r>
      <w:r w:rsidR="00185677">
        <w:t>18. juni</w:t>
      </w:r>
      <w:bookmarkStart w:id="0" w:name="_GoBack"/>
      <w:bookmarkEnd w:id="0"/>
      <w:r w:rsidR="004513E8">
        <w:t xml:space="preserve"> 2024</w:t>
      </w:r>
    </w:p>
    <w:p w14:paraId="29A2528C" w14:textId="42D5B8DB" w:rsidR="00CA7909" w:rsidRDefault="004513E8" w:rsidP="00CA7909">
      <w:pPr>
        <w:pStyle w:val="Overskrift2"/>
      </w:pPr>
      <w:r>
        <w:t>Bolig</w:t>
      </w:r>
    </w:p>
    <w:p w14:paraId="53459FE5" w14:textId="1A65599A" w:rsidR="00CA7909" w:rsidRPr="00CA7909" w:rsidRDefault="00BE61CF" w:rsidP="00BE61CF">
      <w:pPr>
        <w:pStyle w:val="Overskrift3"/>
      </w:pPr>
      <w:r>
        <w:t>Generelt i Danmarks Statistik</w:t>
      </w:r>
    </w:p>
    <w:p w14:paraId="311408A2" w14:textId="77777777" w:rsidR="00CA7909" w:rsidRDefault="00CA7909" w:rsidP="00CA7909">
      <w:pPr>
        <w:pStyle w:val="Ledetekst"/>
        <w:framePr w:wrap="notBeside"/>
      </w:pPr>
      <w:r>
        <w:t>Statistikregister</w:t>
      </w:r>
    </w:p>
    <w:p w14:paraId="40D33057" w14:textId="017A66E8" w:rsidR="00CA7909" w:rsidRPr="00112269" w:rsidRDefault="00DC41CB" w:rsidP="00CA7909">
      <w:pPr>
        <w:rPr>
          <w:rFonts w:cs="Helvetica"/>
          <w:color w:val="002E2E"/>
          <w:shd w:val="clear" w:color="auto" w:fill="FFFFFF"/>
        </w:rPr>
      </w:pPr>
      <w:r w:rsidRPr="00112269">
        <w:rPr>
          <w:rFonts w:cs="Helvetica"/>
          <w:color w:val="002E2E"/>
          <w:shd w:val="clear" w:color="auto" w:fill="FFFFFF"/>
        </w:rPr>
        <w:t>Boligopgørels</w:t>
      </w:r>
      <w:r w:rsidR="00112269" w:rsidRPr="00112269">
        <w:rPr>
          <w:rFonts w:cs="Helvetica"/>
          <w:color w:val="002E2E"/>
          <w:shd w:val="clear" w:color="auto" w:fill="FFFFFF"/>
        </w:rPr>
        <w:t>e</w:t>
      </w:r>
      <w:r w:rsidRPr="00112269">
        <w:rPr>
          <w:rFonts w:cs="Helvetica"/>
          <w:color w:val="002E2E"/>
          <w:shd w:val="clear" w:color="auto" w:fill="FFFFFF"/>
        </w:rPr>
        <w:t>n</w:t>
      </w:r>
      <w:r w:rsidR="005824EE" w:rsidRPr="00112269">
        <w:rPr>
          <w:rFonts w:cs="Helvetica"/>
          <w:color w:val="002E2E"/>
          <w:shd w:val="clear" w:color="auto" w:fill="FFFFFF"/>
        </w:rPr>
        <w:t xml:space="preserve"> er en årlig totalopgørelse af boligbestanden og befolkningens boligforhold. Boligbestanden omfatter samtlige boliger i Danmark og beskrives gennem en række variable, fx boligernes anvendelse, opførelsesår, husstandstype og størrelse, ejer- og udlejningsforhold samt efter opvarmnings-, toilet-, bade- og køkkenforhold.</w:t>
      </w:r>
      <w:r w:rsidRPr="00112269">
        <w:rPr>
          <w:rFonts w:cs="Helvetica"/>
          <w:color w:val="002E2E"/>
          <w:shd w:val="clear" w:color="auto" w:fill="FFFFFF"/>
        </w:rPr>
        <w:t xml:space="preserve"> Data til indsamles fra BBR.</w:t>
      </w:r>
    </w:p>
    <w:p w14:paraId="285EFA95" w14:textId="77777777" w:rsidR="005824EE" w:rsidRDefault="005824EE" w:rsidP="00CA7909"/>
    <w:p w14:paraId="00F259BE" w14:textId="77777777" w:rsidR="00CA7909" w:rsidRDefault="00CA7909" w:rsidP="00CA7909">
      <w:pPr>
        <w:pStyle w:val="Ledetekst"/>
        <w:framePr w:wrap="notBeside"/>
      </w:pPr>
      <w:r>
        <w:t>Link til statistikdokumentation</w:t>
      </w:r>
    </w:p>
    <w:p w14:paraId="26D7CA9A" w14:textId="4D716AA5" w:rsidR="008A4CFF" w:rsidRDefault="00185677" w:rsidP="00BE61CF">
      <w:hyperlink r:id="rId7" w:history="1">
        <w:r w:rsidR="00DC41CB" w:rsidRPr="00F051C9">
          <w:rPr>
            <w:rStyle w:val="Hyperlink"/>
          </w:rPr>
          <w:t>https://www.dst.dk/da/Statistik/dokumentation/statistikdokumentation/boligopgoerelsen</w:t>
        </w:r>
      </w:hyperlink>
      <w:r w:rsidR="00DC41CB">
        <w:t xml:space="preserve"> </w:t>
      </w:r>
    </w:p>
    <w:p w14:paraId="3D9D35AC" w14:textId="77777777" w:rsidR="00DC41CB" w:rsidRDefault="00DC41CB" w:rsidP="00BE61CF"/>
    <w:p w14:paraId="601A4979" w14:textId="77777777" w:rsidR="00BE61CF" w:rsidRDefault="00BE61CF" w:rsidP="00BE61CF">
      <w:pPr>
        <w:pStyle w:val="Ledetekst"/>
        <w:framePr w:wrap="notBeside"/>
      </w:pPr>
      <w:r>
        <w:t>Databrud</w:t>
      </w:r>
    </w:p>
    <w:p w14:paraId="65224A76" w14:textId="226E7CE1" w:rsidR="00D1799C" w:rsidRDefault="00397C36" w:rsidP="00CA7909">
      <w:r>
        <w:t xml:space="preserve">Fra 2010 og frem er opgørelserne umiddelbart sammenlignelige. </w:t>
      </w:r>
      <w:r w:rsidR="00C60825">
        <w:t>Variablen Udlejningsforhold for 2021 og 2022 er sat til uoplyst</w:t>
      </w:r>
      <w:r>
        <w:t xml:space="preserve">, grundet fejl i data fra BBR. </w:t>
      </w:r>
    </w:p>
    <w:p w14:paraId="417935E3" w14:textId="62151D34" w:rsidR="00B443C6" w:rsidRPr="00E8018E" w:rsidRDefault="00B443C6" w:rsidP="00CA7909"/>
    <w:p w14:paraId="3B876ADB" w14:textId="77777777" w:rsidR="00BE61CF" w:rsidRDefault="00BE61CF" w:rsidP="00BE61CF">
      <w:pPr>
        <w:pStyle w:val="Overskrift3"/>
      </w:pPr>
      <w:r>
        <w:t>I Udlændingedatabasen</w:t>
      </w:r>
    </w:p>
    <w:p w14:paraId="551B375D" w14:textId="77777777" w:rsidR="00CA7909" w:rsidRDefault="00CA7909" w:rsidP="00CA7909">
      <w:pPr>
        <w:pStyle w:val="Ledetekst"/>
        <w:framePr w:wrap="notBeside"/>
      </w:pPr>
      <w:r>
        <w:t>Referencetid</w:t>
      </w:r>
    </w:p>
    <w:p w14:paraId="1027C288" w14:textId="47F74D92" w:rsidR="00CA7909" w:rsidRDefault="00CA7909" w:rsidP="00CA7909">
      <w:r>
        <w:t>Årstallet i tabellerne refererer til at populationen er befolkningen</w:t>
      </w:r>
      <w:r w:rsidR="00C41A48">
        <w:t xml:space="preserve"> pr. 1. januar, selv om det reelt er d. 31. december året før.</w:t>
      </w:r>
      <w:r>
        <w:t xml:space="preserve"> </w:t>
      </w:r>
      <w:r w:rsidR="004157A9">
        <w:t>Dvs. 2023 betyder referencetidspunkt d. 31.12.2022.</w:t>
      </w:r>
    </w:p>
    <w:p w14:paraId="605E836B" w14:textId="77777777" w:rsidR="00CA7909" w:rsidRDefault="00CA7909" w:rsidP="00CA7909"/>
    <w:p w14:paraId="24E47990" w14:textId="77777777" w:rsidR="00CA7909" w:rsidRDefault="00CA7909" w:rsidP="00CA7909">
      <w:pPr>
        <w:pStyle w:val="Ledetekst"/>
        <w:framePr w:wrap="notBeside"/>
      </w:pPr>
      <w:r>
        <w:t>Opdateringstidspunkt</w:t>
      </w:r>
    </w:p>
    <w:p w14:paraId="6C184D0C" w14:textId="67DD0429" w:rsidR="00CA7909" w:rsidRDefault="00397C36" w:rsidP="00CA7909">
      <w:r>
        <w:t>Boligopgørelsen</w:t>
      </w:r>
      <w:r w:rsidR="00B0445C">
        <w:t xml:space="preserve"> </w:t>
      </w:r>
      <w:r w:rsidR="004157A9">
        <w:t xml:space="preserve">bliver opdateret </w:t>
      </w:r>
      <w:r w:rsidR="003D5A13">
        <w:t>fire</w:t>
      </w:r>
      <w:r w:rsidR="00C60825">
        <w:t>-fem</w:t>
      </w:r>
      <w:r w:rsidR="003D5A13">
        <w:t xml:space="preserve"> måneder efter</w:t>
      </w:r>
      <w:r w:rsidR="004157A9">
        <w:t xml:space="preserve"> referencetidspunktet.</w:t>
      </w:r>
    </w:p>
    <w:p w14:paraId="7B50A6FD" w14:textId="77777777" w:rsidR="00CA7909" w:rsidRDefault="00CA7909" w:rsidP="00CA7909"/>
    <w:p w14:paraId="60232BD3" w14:textId="77777777" w:rsidR="00CA7909" w:rsidRDefault="00CA7909" w:rsidP="00CA7909">
      <w:pPr>
        <w:pStyle w:val="Ledetekst"/>
        <w:framePr w:wrap="notBeside"/>
      </w:pPr>
      <w:r>
        <w:t>Sammenligning med statistikbanktabeller</w:t>
      </w:r>
    </w:p>
    <w:p w14:paraId="27BF9649" w14:textId="4C465F1D" w:rsidR="00CA0007" w:rsidRDefault="00CA0007" w:rsidP="00CA0007">
      <w:r>
        <w:t>Der er flere husstande i Udlændingedatabasen end i Boligopgørelsens statistikbanktabeller. Det skyldes, at der kan findes en BBR-adresse til en CPR-adresse, som ikke nødvendigvis er en boligenhed, og som derfor ikke er medtaget som beboet bolig i Boligopgørelsen. Af samme årsag er der ligeledes flere personer i befolkningen pr. 1. januar i Udlændingedatabasen end i boligopgørelsens antal personer pr. 1. januar.</w:t>
      </w:r>
      <w:r w:rsidR="00112269">
        <w:t xml:space="preserve"> De husstande</w:t>
      </w:r>
      <w:r w:rsidR="00E94ECE">
        <w:t xml:space="preserve"> og personer</w:t>
      </w:r>
      <w:r w:rsidR="00112269">
        <w:t xml:space="preserve"> der ikke er koblet til en bebolig i boligopgørelsen, er uoplyst i boligvariablene.</w:t>
      </w:r>
    </w:p>
    <w:p w14:paraId="7BF543DC" w14:textId="77777777" w:rsidR="00CA0007" w:rsidRDefault="00CA0007" w:rsidP="00CA0007"/>
    <w:p w14:paraId="0B394ADB" w14:textId="77777777" w:rsidR="00CA0007" w:rsidRDefault="00CA0007" w:rsidP="00CA0007">
      <w:r>
        <w:t>BBR har i nogle tilfælde mere end én bolig pr. CPR-adresse. Det skyldes, at der er en ekstra bygning på en matrikel, som i BBR defineres som en selvstændig bolig, og dermed bliver til en selvstændig adresse. Definitionen af en husstand i befolkningsstatistikken, indebærer at én CPR-adresse er lig med én husstand. I de tilfælde, hvor der i BBR er to boliger pr CPR-adresse, vil den bolig, der ligger øverst i værdisættet for Boligart, blive valgt. Hvis der fx både er et parcelhus og et fritidshus på samme adresse, vælges parcelhuset som den valide bolig.</w:t>
      </w:r>
    </w:p>
    <w:p w14:paraId="09A68785" w14:textId="570FE45A" w:rsidR="00BE61CF" w:rsidRDefault="00BE61CF" w:rsidP="00CA7909"/>
    <w:p w14:paraId="2E2943B1" w14:textId="31DB7354" w:rsidR="00990693" w:rsidRDefault="00990693" w:rsidP="00B0445C">
      <w:pPr>
        <w:pStyle w:val="Ledetekst"/>
        <w:framePr w:wrap="notBeside"/>
      </w:pPr>
      <w:r>
        <w:t xml:space="preserve">Tabeller </w:t>
      </w:r>
      <w:r w:rsidR="00B0445C">
        <w:t>med befolkningsoplysninger</w:t>
      </w:r>
    </w:p>
    <w:p w14:paraId="54A9B290" w14:textId="48FFA6FD" w:rsidR="00BE61CF" w:rsidRDefault="00B0445C" w:rsidP="00CA7909">
      <w:r>
        <w:t xml:space="preserve">Tabeller med </w:t>
      </w:r>
      <w:r w:rsidR="000B59BB">
        <w:t>bolig</w:t>
      </w:r>
      <w:r>
        <w:t>oplysni</w:t>
      </w:r>
      <w:r w:rsidR="000B59BB">
        <w:t>nger ligger i mappen ”Bolig</w:t>
      </w:r>
      <w:r>
        <w:t xml:space="preserve">” i Udlændingedatabasen. </w:t>
      </w:r>
      <w:r w:rsidR="00BE61CF">
        <w:t xml:space="preserve">Alle tabeller med </w:t>
      </w:r>
      <w:r w:rsidR="004157A9">
        <w:t>befolknings</w:t>
      </w:r>
      <w:r w:rsidR="00BE61CF">
        <w:t>oplysninger starter med IM</w:t>
      </w:r>
      <w:r w:rsidR="000B59BB">
        <w:t>BOL</w:t>
      </w:r>
      <w:r w:rsidR="00C73CD5">
        <w:t xml:space="preserve"> i navngivningen.</w:t>
      </w:r>
    </w:p>
    <w:p w14:paraId="15E8AEE0" w14:textId="1A8983C5" w:rsidR="00E8018E" w:rsidRDefault="00E8018E" w:rsidP="00CA7909"/>
    <w:p w14:paraId="0D340F77" w14:textId="1E3F14A8" w:rsidR="00FA485A" w:rsidRDefault="00FA485A" w:rsidP="00CA7909">
      <w:bookmarkStart w:id="1" w:name="Brødtekst"/>
      <w:bookmarkEnd w:id="1"/>
    </w:p>
    <w:p w14:paraId="7508361D" w14:textId="2B1DC66B" w:rsidR="005424DA" w:rsidRDefault="005424DA" w:rsidP="00CA7909">
      <w:pPr>
        <w:rPr>
          <w:b/>
        </w:rPr>
      </w:pPr>
      <w:r w:rsidRPr="00944E67">
        <w:rPr>
          <w:b/>
        </w:rPr>
        <w:t xml:space="preserve">Variable i </w:t>
      </w:r>
      <w:r w:rsidR="000B59BB">
        <w:rPr>
          <w:b/>
        </w:rPr>
        <w:t>Bolig</w:t>
      </w:r>
      <w:r w:rsidR="0088600C">
        <w:rPr>
          <w:b/>
        </w:rPr>
        <w:t>tabeller</w:t>
      </w:r>
    </w:p>
    <w:p w14:paraId="4BA69CF2" w14:textId="72A6F978" w:rsidR="005424DA" w:rsidRDefault="00E94ECE" w:rsidP="005424DA">
      <w:pPr>
        <w:pStyle w:val="Ledetekst"/>
        <w:framePr w:wrap="notBeside"/>
      </w:pPr>
      <w:r>
        <w:t>Køn, alder</w:t>
      </w:r>
      <w:r w:rsidR="00C94914">
        <w:t>, bopælskommune</w:t>
      </w:r>
    </w:p>
    <w:p w14:paraId="2F4D4C80" w14:textId="0AC458C1" w:rsidR="00BD5F42" w:rsidRPr="00E94ECE" w:rsidRDefault="00E94ECE" w:rsidP="00BD5F42">
      <w:r w:rsidRPr="00E94ECE">
        <w:t xml:space="preserve">Køn, alder </w:t>
      </w:r>
      <w:r w:rsidR="00C94914" w:rsidRPr="00E94ECE">
        <w:t xml:space="preserve">og </w:t>
      </w:r>
      <w:r w:rsidRPr="00E94ECE">
        <w:t>bopæls</w:t>
      </w:r>
      <w:r w:rsidR="00C94914" w:rsidRPr="00E94ECE">
        <w:t>kommune er variable der stammer direkte fra CPR-registret, og bliver opgjort på referencetidspunktet.</w:t>
      </w:r>
    </w:p>
    <w:p w14:paraId="5888FECB" w14:textId="041625C9" w:rsidR="00DD4AB5" w:rsidRPr="000027E8" w:rsidRDefault="00DD4AB5" w:rsidP="00BD5F42">
      <w:pPr>
        <w:rPr>
          <w:b/>
          <w:i/>
        </w:rPr>
      </w:pPr>
    </w:p>
    <w:p w14:paraId="60B43A6D" w14:textId="77777777" w:rsidR="00C94914" w:rsidRPr="000027E8" w:rsidRDefault="00C94914" w:rsidP="00BD5F42">
      <w:pPr>
        <w:rPr>
          <w:b/>
          <w:i/>
        </w:rPr>
      </w:pPr>
    </w:p>
    <w:p w14:paraId="3348EA05" w14:textId="77777777" w:rsidR="00DD4AB5" w:rsidRPr="000027E8" w:rsidRDefault="00DD4AB5" w:rsidP="00DD4AB5">
      <w:pPr>
        <w:pStyle w:val="Ledetekst"/>
        <w:framePr w:wrap="notBeside"/>
      </w:pPr>
      <w:r w:rsidRPr="000027E8">
        <w:t>Herkomst og oprindelsesland</w:t>
      </w:r>
    </w:p>
    <w:p w14:paraId="082FF7FA" w14:textId="2345E244" w:rsidR="00DD4AB5" w:rsidRPr="00E94ECE" w:rsidRDefault="00DD4AB5" w:rsidP="00BD5F42">
      <w:r w:rsidRPr="00E94ECE">
        <w:t xml:space="preserve">Herkomst og oprindelsesland </w:t>
      </w:r>
      <w:r w:rsidR="00C94914" w:rsidRPr="00E94ECE">
        <w:t>er afledte variable, der bliver dannet ud fra personens egne oplysninger og forældres oplysninger i CPR. Herkomst og oprindelsesland bliver opgjort på referencetidspunktet</w:t>
      </w:r>
      <w:r w:rsidR="00796B9F" w:rsidRPr="00E94ECE">
        <w:t>.</w:t>
      </w:r>
    </w:p>
    <w:p w14:paraId="623EEE39" w14:textId="77777777" w:rsidR="00796B9F" w:rsidRPr="000027E8" w:rsidRDefault="00796B9F" w:rsidP="00BD5F42">
      <w:pPr>
        <w:rPr>
          <w:i/>
        </w:rPr>
      </w:pPr>
    </w:p>
    <w:p w14:paraId="5B795A57" w14:textId="021D34C0" w:rsidR="00944E67" w:rsidRPr="000027E8" w:rsidRDefault="00944E67" w:rsidP="00944E67">
      <w:pPr>
        <w:pStyle w:val="Ledetekst"/>
        <w:framePr w:wrap="notBeside"/>
      </w:pPr>
      <w:r w:rsidRPr="000027E8">
        <w:t>Opholdstid</w:t>
      </w:r>
    </w:p>
    <w:p w14:paraId="2284D05C" w14:textId="357D56DC" w:rsidR="00944E67" w:rsidRPr="00CA7FAD" w:rsidRDefault="00CA7FAD" w:rsidP="00BD5F42">
      <w:r w:rsidRPr="00CA7FAD">
        <w:t>Opholdstid</w:t>
      </w:r>
      <w:r w:rsidR="00C94914" w:rsidRPr="00CA7FAD">
        <w:t xml:space="preserve"> bliver beregnet i forhold til første</w:t>
      </w:r>
      <w:r w:rsidR="00944E67" w:rsidRPr="00CA7FAD">
        <w:t xml:space="preserve"> indvandring</w:t>
      </w:r>
      <w:r w:rsidR="00D12C8F" w:rsidRPr="00CA7FAD">
        <w:t>sdato</w:t>
      </w:r>
      <w:r w:rsidR="00F9295A" w:rsidRPr="00CA7FAD">
        <w:t>, og bliver opgjort på ref</w:t>
      </w:r>
      <w:r w:rsidRPr="00CA7FAD">
        <w:t>e</w:t>
      </w:r>
      <w:r w:rsidR="00F9295A" w:rsidRPr="00CA7FAD">
        <w:t>rencetidspunktet.</w:t>
      </w:r>
    </w:p>
    <w:p w14:paraId="7359F5C9" w14:textId="7D326074" w:rsidR="00651BA3" w:rsidRPr="000027E8" w:rsidRDefault="00651BA3" w:rsidP="00BD5F42">
      <w:pPr>
        <w:rPr>
          <w:i/>
        </w:rPr>
      </w:pPr>
    </w:p>
    <w:p w14:paraId="6E519864" w14:textId="6D0DAD29" w:rsidR="00010DDA" w:rsidRPr="000027E8" w:rsidRDefault="00010DDA" w:rsidP="00010DDA">
      <w:pPr>
        <w:pStyle w:val="Ledetekst"/>
        <w:framePr w:wrap="notBeside"/>
      </w:pPr>
      <w:r w:rsidRPr="000027E8">
        <w:lastRenderedPageBreak/>
        <w:t>Familier og husstande</w:t>
      </w:r>
    </w:p>
    <w:p w14:paraId="7030D27E" w14:textId="3A1DEDF7" w:rsidR="00C94914" w:rsidRPr="000027E8" w:rsidRDefault="00010DDA" w:rsidP="00BD5F42">
      <w:pPr>
        <w:rPr>
          <w:i/>
        </w:rPr>
      </w:pPr>
      <w:r w:rsidRPr="000027E8">
        <w:rPr>
          <w:i/>
        </w:rPr>
        <w:t>Oplysninger om familier og husstande bliver dannet ud fra oplysninger om bopæl, forældre/barn-relationer og civilstand i CPR. Familier og husstande opgøres på referencetidspunktet.</w:t>
      </w:r>
    </w:p>
    <w:p w14:paraId="50DECCF9" w14:textId="64BA8AB9" w:rsidR="00C94914" w:rsidRPr="000027E8" w:rsidRDefault="00C94914" w:rsidP="00BD5F42">
      <w:pPr>
        <w:rPr>
          <w:i/>
        </w:rPr>
      </w:pPr>
    </w:p>
    <w:p w14:paraId="433E3BCC" w14:textId="77777777" w:rsidR="000B59BB" w:rsidRDefault="000B59BB" w:rsidP="000B59BB">
      <w:pPr>
        <w:pStyle w:val="Ledetekst"/>
        <w:framePr w:wrap="notBeside"/>
      </w:pPr>
      <w:r>
        <w:t>Ejer/lejer</w:t>
      </w:r>
    </w:p>
    <w:p w14:paraId="4588E690" w14:textId="03B9999C" w:rsidR="000B59BB" w:rsidRDefault="000B59BB" w:rsidP="000B59BB">
      <w:pPr>
        <w:rPr>
          <w:rFonts w:ascii="Times New Roman" w:hAnsi="Times New Roman"/>
          <w:sz w:val="24"/>
        </w:rPr>
      </w:pPr>
      <w:r>
        <w:t xml:space="preserve">Pga. tidsforskydningen mellem opdatering af de forskellige registre, vil der være en usikkerhed i opgørelser over om boligen er beboet af ejer eller lejer. Værdien bliver dannet på baggrund af ejendomsregistret, CPR og BBR, og det bliver f.eks. først registreret at der er en ny ejer, når tinglysningen er registreret i ejendomsregistret, mens den kommende ejer allerede er flyttet ind ifølge CPR. Derved vil den nyindflyttede blive registreret som lejer af sin bolig indtil næste opgørelse. </w:t>
      </w:r>
    </w:p>
    <w:p w14:paraId="6368B6EB" w14:textId="77777777" w:rsidR="000B59BB" w:rsidRPr="0088600C" w:rsidRDefault="000B59BB" w:rsidP="00BD5F42"/>
    <w:p w14:paraId="15B142F6" w14:textId="5171FDAD" w:rsidR="00944E67" w:rsidRDefault="005E7B78" w:rsidP="005E7B78">
      <w:pPr>
        <w:pStyle w:val="Ledetekst"/>
        <w:framePr w:wrap="notBeside"/>
      </w:pPr>
      <w:r w:rsidRPr="005E7B78">
        <w:t>Boligens art, udlejningsforhold, bygningens opførelsesår, beboere pr. v</w:t>
      </w:r>
      <w:r>
        <w:t>ærelse, kvadratmeter pr. beboer</w:t>
      </w:r>
    </w:p>
    <w:p w14:paraId="160F4E71" w14:textId="73D42F5C" w:rsidR="005E7B78" w:rsidRPr="005E7B78" w:rsidRDefault="005E7B78" w:rsidP="005E7B78">
      <w:r>
        <w:t>Oplysning om b</w:t>
      </w:r>
      <w:r w:rsidRPr="005E7B78">
        <w:t>oligens art, udlejningsforhold, bygningens opførelsesår, beboere pr. v</w:t>
      </w:r>
      <w:r>
        <w:t>ærelse og kvadratmeter pr. beboer stammer fra boligopgørelsen, og opgøres på referencetidspunktet.</w:t>
      </w:r>
    </w:p>
    <w:p w14:paraId="1D1DA9FF" w14:textId="77777777" w:rsidR="005E7B78" w:rsidRPr="005E7B78" w:rsidRDefault="005E7B78" w:rsidP="00944E67"/>
    <w:sectPr w:rsidR="005E7B78" w:rsidRPr="005E7B78" w:rsidSect="00754CA7">
      <w:pgSz w:w="11906" w:h="16838" w:code="9"/>
      <w:pgMar w:top="1134" w:right="992" w:bottom="1134" w:left="354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9A093" w14:textId="77777777" w:rsidR="00CA7909" w:rsidRDefault="00CA7909" w:rsidP="000560D9">
      <w:r>
        <w:separator/>
      </w:r>
    </w:p>
  </w:endnote>
  <w:endnote w:type="continuationSeparator" w:id="0">
    <w:p w14:paraId="4502ED2F" w14:textId="77777777" w:rsidR="00CA7909" w:rsidRDefault="00CA7909"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A3F6" w14:textId="77777777" w:rsidR="00CA7909" w:rsidRDefault="00CA7909" w:rsidP="000560D9">
      <w:r>
        <w:separator/>
      </w:r>
    </w:p>
  </w:footnote>
  <w:footnote w:type="continuationSeparator" w:id="0">
    <w:p w14:paraId="520FD686" w14:textId="77777777" w:rsidR="00CA7909" w:rsidRDefault="00CA7909" w:rsidP="0005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ubltype" w:val="a4"/>
  </w:docVars>
  <w:rsids>
    <w:rsidRoot w:val="00CA7909"/>
    <w:rsid w:val="0000101A"/>
    <w:rsid w:val="000027E8"/>
    <w:rsid w:val="00010DDA"/>
    <w:rsid w:val="000168F5"/>
    <w:rsid w:val="0002095E"/>
    <w:rsid w:val="00023801"/>
    <w:rsid w:val="00044ADE"/>
    <w:rsid w:val="00050A67"/>
    <w:rsid w:val="000560D9"/>
    <w:rsid w:val="000616D1"/>
    <w:rsid w:val="00073CAD"/>
    <w:rsid w:val="00074B60"/>
    <w:rsid w:val="00094B6A"/>
    <w:rsid w:val="000B1C85"/>
    <w:rsid w:val="000B59BB"/>
    <w:rsid w:val="000C465A"/>
    <w:rsid w:val="000C53F3"/>
    <w:rsid w:val="000F4E5F"/>
    <w:rsid w:val="00112269"/>
    <w:rsid w:val="00152687"/>
    <w:rsid w:val="001645AF"/>
    <w:rsid w:val="00182874"/>
    <w:rsid w:val="00185677"/>
    <w:rsid w:val="001B6EE4"/>
    <w:rsid w:val="001B746E"/>
    <w:rsid w:val="001C23F1"/>
    <w:rsid w:val="001C4179"/>
    <w:rsid w:val="001D3E3F"/>
    <w:rsid w:val="00205A2D"/>
    <w:rsid w:val="00214DF2"/>
    <w:rsid w:val="00244974"/>
    <w:rsid w:val="00247C96"/>
    <w:rsid w:val="00262771"/>
    <w:rsid w:val="00263B8B"/>
    <w:rsid w:val="00285C7B"/>
    <w:rsid w:val="00292399"/>
    <w:rsid w:val="002D575D"/>
    <w:rsid w:val="00301E0D"/>
    <w:rsid w:val="00312065"/>
    <w:rsid w:val="0032032C"/>
    <w:rsid w:val="00323499"/>
    <w:rsid w:val="003339FB"/>
    <w:rsid w:val="00394580"/>
    <w:rsid w:val="00397C36"/>
    <w:rsid w:val="003B2E27"/>
    <w:rsid w:val="003C71F3"/>
    <w:rsid w:val="003D2B9E"/>
    <w:rsid w:val="003D3132"/>
    <w:rsid w:val="003D5A13"/>
    <w:rsid w:val="003E50EC"/>
    <w:rsid w:val="004157A9"/>
    <w:rsid w:val="00421208"/>
    <w:rsid w:val="004308C8"/>
    <w:rsid w:val="0043327C"/>
    <w:rsid w:val="00437866"/>
    <w:rsid w:val="00437AD7"/>
    <w:rsid w:val="00443347"/>
    <w:rsid w:val="004513E8"/>
    <w:rsid w:val="0046797B"/>
    <w:rsid w:val="004A0F48"/>
    <w:rsid w:val="004B1B1D"/>
    <w:rsid w:val="004F220B"/>
    <w:rsid w:val="004F69F3"/>
    <w:rsid w:val="004F7A12"/>
    <w:rsid w:val="00501664"/>
    <w:rsid w:val="0050602B"/>
    <w:rsid w:val="005129D3"/>
    <w:rsid w:val="005278B9"/>
    <w:rsid w:val="00532416"/>
    <w:rsid w:val="005424DA"/>
    <w:rsid w:val="005824EE"/>
    <w:rsid w:val="00592600"/>
    <w:rsid w:val="005A006A"/>
    <w:rsid w:val="005B37E1"/>
    <w:rsid w:val="005B3F54"/>
    <w:rsid w:val="005C5D8C"/>
    <w:rsid w:val="005D4EA2"/>
    <w:rsid w:val="005E7B78"/>
    <w:rsid w:val="00602EB6"/>
    <w:rsid w:val="00607944"/>
    <w:rsid w:val="00616D85"/>
    <w:rsid w:val="00651BA3"/>
    <w:rsid w:val="0065672A"/>
    <w:rsid w:val="00665EE8"/>
    <w:rsid w:val="006B0BC0"/>
    <w:rsid w:val="006D7846"/>
    <w:rsid w:val="006F3419"/>
    <w:rsid w:val="006F7A17"/>
    <w:rsid w:val="007016BC"/>
    <w:rsid w:val="007142B2"/>
    <w:rsid w:val="00736FCF"/>
    <w:rsid w:val="00754CA7"/>
    <w:rsid w:val="00774A4C"/>
    <w:rsid w:val="00791955"/>
    <w:rsid w:val="00796B9F"/>
    <w:rsid w:val="007B1055"/>
    <w:rsid w:val="007B1673"/>
    <w:rsid w:val="007B4452"/>
    <w:rsid w:val="00820334"/>
    <w:rsid w:val="00823F75"/>
    <w:rsid w:val="008314C2"/>
    <w:rsid w:val="008338D3"/>
    <w:rsid w:val="00836783"/>
    <w:rsid w:val="00840163"/>
    <w:rsid w:val="00841198"/>
    <w:rsid w:val="008577EB"/>
    <w:rsid w:val="0088600C"/>
    <w:rsid w:val="008A23DC"/>
    <w:rsid w:val="008A4CFF"/>
    <w:rsid w:val="008B16D6"/>
    <w:rsid w:val="009001CE"/>
    <w:rsid w:val="009144C1"/>
    <w:rsid w:val="00922932"/>
    <w:rsid w:val="00922F5E"/>
    <w:rsid w:val="009326CE"/>
    <w:rsid w:val="00934F34"/>
    <w:rsid w:val="00936597"/>
    <w:rsid w:val="00941024"/>
    <w:rsid w:val="0094286D"/>
    <w:rsid w:val="00944E67"/>
    <w:rsid w:val="00967DEE"/>
    <w:rsid w:val="00981DB4"/>
    <w:rsid w:val="00986E94"/>
    <w:rsid w:val="00990693"/>
    <w:rsid w:val="009A4406"/>
    <w:rsid w:val="009B453E"/>
    <w:rsid w:val="00A03E66"/>
    <w:rsid w:val="00A06F28"/>
    <w:rsid w:val="00A373B8"/>
    <w:rsid w:val="00A63413"/>
    <w:rsid w:val="00A920C5"/>
    <w:rsid w:val="00A9772D"/>
    <w:rsid w:val="00AC7CF3"/>
    <w:rsid w:val="00AF3AA6"/>
    <w:rsid w:val="00B00CD1"/>
    <w:rsid w:val="00B0445C"/>
    <w:rsid w:val="00B247EA"/>
    <w:rsid w:val="00B32564"/>
    <w:rsid w:val="00B32613"/>
    <w:rsid w:val="00B443C6"/>
    <w:rsid w:val="00B50774"/>
    <w:rsid w:val="00B85B66"/>
    <w:rsid w:val="00BA5C10"/>
    <w:rsid w:val="00BB04C3"/>
    <w:rsid w:val="00BB6E02"/>
    <w:rsid w:val="00BC2BFA"/>
    <w:rsid w:val="00BD5F42"/>
    <w:rsid w:val="00BE08DD"/>
    <w:rsid w:val="00BE61CF"/>
    <w:rsid w:val="00C05269"/>
    <w:rsid w:val="00C21D44"/>
    <w:rsid w:val="00C41A48"/>
    <w:rsid w:val="00C54550"/>
    <w:rsid w:val="00C60825"/>
    <w:rsid w:val="00C73CD5"/>
    <w:rsid w:val="00C94914"/>
    <w:rsid w:val="00CA0007"/>
    <w:rsid w:val="00CA4ABB"/>
    <w:rsid w:val="00CA7909"/>
    <w:rsid w:val="00CA7FAD"/>
    <w:rsid w:val="00CD3309"/>
    <w:rsid w:val="00CE36F0"/>
    <w:rsid w:val="00CF1D55"/>
    <w:rsid w:val="00D05FAF"/>
    <w:rsid w:val="00D12C8F"/>
    <w:rsid w:val="00D13CE9"/>
    <w:rsid w:val="00D1799C"/>
    <w:rsid w:val="00D2582F"/>
    <w:rsid w:val="00D268B6"/>
    <w:rsid w:val="00D37B06"/>
    <w:rsid w:val="00D67B9F"/>
    <w:rsid w:val="00D74FE4"/>
    <w:rsid w:val="00D87D21"/>
    <w:rsid w:val="00DB4975"/>
    <w:rsid w:val="00DC18D9"/>
    <w:rsid w:val="00DC41CB"/>
    <w:rsid w:val="00DD249E"/>
    <w:rsid w:val="00DD4AB5"/>
    <w:rsid w:val="00DD7B51"/>
    <w:rsid w:val="00DF4024"/>
    <w:rsid w:val="00E169AB"/>
    <w:rsid w:val="00E2275B"/>
    <w:rsid w:val="00E308A4"/>
    <w:rsid w:val="00E34333"/>
    <w:rsid w:val="00E45CFA"/>
    <w:rsid w:val="00E6361F"/>
    <w:rsid w:val="00E8018E"/>
    <w:rsid w:val="00E85241"/>
    <w:rsid w:val="00E87221"/>
    <w:rsid w:val="00E94ECE"/>
    <w:rsid w:val="00EC7D82"/>
    <w:rsid w:val="00ED2284"/>
    <w:rsid w:val="00ED7870"/>
    <w:rsid w:val="00EF5C49"/>
    <w:rsid w:val="00F16F76"/>
    <w:rsid w:val="00F401B3"/>
    <w:rsid w:val="00F51E2D"/>
    <w:rsid w:val="00F708D1"/>
    <w:rsid w:val="00F811B1"/>
    <w:rsid w:val="00F9295A"/>
    <w:rsid w:val="00FA485A"/>
    <w:rsid w:val="00FB2A6B"/>
    <w:rsid w:val="00FE32C7"/>
    <w:rsid w:val="00FF278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3F9303"/>
  <w15:docId w15:val="{662D3AA5-A963-4012-930F-C06793D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C18D9"/>
    <w:pPr>
      <w:keepNext/>
      <w:keepLines/>
      <w:spacing w:after="40"/>
      <w:jc w:val="left"/>
    </w:pPr>
    <w:rPr>
      <w:rFonts w:ascii="Arial Narrow" w:hAnsi="Arial Narrow"/>
      <w:b/>
    </w:rPr>
  </w:style>
  <w:style w:type="paragraph" w:customStyle="1" w:styleId="FigurOverskrift">
    <w:name w:val="FigurOverskrift"/>
    <w:basedOn w:val="Tabeloverskrift"/>
    <w:next w:val="Normal"/>
    <w:rsid w:val="00437AD7"/>
    <w:pPr>
      <w:spacing w:after="60"/>
    </w:pPr>
    <w:rPr>
      <w:rFonts w:cs="Arial"/>
      <w:b w:val="0"/>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Kommentarhenvisning">
    <w:name w:val="annotation reference"/>
    <w:basedOn w:val="Standardskrifttypeiafsnit"/>
    <w:uiPriority w:val="99"/>
    <w:semiHidden/>
    <w:unhideWhenUsed/>
    <w:rsid w:val="009A4406"/>
    <w:rPr>
      <w:sz w:val="16"/>
      <w:szCs w:val="16"/>
    </w:rPr>
  </w:style>
  <w:style w:type="paragraph" w:styleId="Kommentartekst">
    <w:name w:val="annotation text"/>
    <w:basedOn w:val="Normal"/>
    <w:link w:val="KommentartekstTegn"/>
    <w:uiPriority w:val="99"/>
    <w:semiHidden/>
    <w:unhideWhenUsed/>
    <w:rsid w:val="009A4406"/>
    <w:pPr>
      <w:spacing w:line="240" w:lineRule="auto"/>
    </w:pPr>
  </w:style>
  <w:style w:type="character" w:customStyle="1" w:styleId="KommentartekstTegn">
    <w:name w:val="Kommentartekst Tegn"/>
    <w:basedOn w:val="Standardskrifttypeiafsnit"/>
    <w:link w:val="Kommentartekst"/>
    <w:uiPriority w:val="99"/>
    <w:semiHidden/>
    <w:rsid w:val="009A4406"/>
    <w:rPr>
      <w:rFonts w:ascii="Georgia" w:hAnsi="Georgia"/>
    </w:rPr>
  </w:style>
  <w:style w:type="paragraph" w:styleId="Kommentaremne">
    <w:name w:val="annotation subject"/>
    <w:basedOn w:val="Kommentartekst"/>
    <w:next w:val="Kommentartekst"/>
    <w:link w:val="KommentaremneTegn"/>
    <w:uiPriority w:val="99"/>
    <w:semiHidden/>
    <w:unhideWhenUsed/>
    <w:rsid w:val="009A4406"/>
    <w:rPr>
      <w:b/>
      <w:bCs/>
    </w:rPr>
  </w:style>
  <w:style w:type="character" w:customStyle="1" w:styleId="KommentaremneTegn">
    <w:name w:val="Kommentaremne Tegn"/>
    <w:basedOn w:val="KommentartekstTegn"/>
    <w:link w:val="Kommentaremne"/>
    <w:uiPriority w:val="99"/>
    <w:semiHidden/>
    <w:rsid w:val="009A4406"/>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t.dk/da/Statistik/dokumentation/statistikdokumentation/boligopgoerel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267</TotalTime>
  <Pages>2</Pages>
  <Words>562</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 Lindhardt Olsen</dc:creator>
  <cp:lastModifiedBy>Annemette Lindhardt Olsen</cp:lastModifiedBy>
  <cp:revision>11</cp:revision>
  <dcterms:created xsi:type="dcterms:W3CDTF">2024-03-26T09:23:00Z</dcterms:created>
  <dcterms:modified xsi:type="dcterms:W3CDTF">2024-06-18T09:05:00Z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y fmtid="{D5CDD505-2E9C-101B-9397-08002B2CF9AE}" pid="8" name="ContentRemapped">
    <vt:lpwstr>true</vt:lpwstr>
  </property>
</Properties>
</file>